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rPr>
          <w:rFonts w:hint="eastAsia"/>
          <w:b/>
          <w:sz w:val="24"/>
        </w:rPr>
        <w:t>R4-2</w:t>
      </w:r>
      <w:r>
        <w:rPr>
          <w:rFonts w:hint="eastAsia" w:eastAsia="宋体"/>
          <w:b/>
          <w:sz w:val="24"/>
          <w:lang w:val="en-US" w:eastAsia="zh-CN"/>
        </w:rPr>
        <w:t>411859</w:t>
      </w:r>
      <w:bookmarkStart w:id="2" w:name="_GoBack"/>
      <w:bookmarkEnd w:id="2"/>
    </w:p>
    <w:p>
      <w:pPr>
        <w:pStyle w:val="73"/>
        <w:outlineLvl w:val="0"/>
        <w:rPr>
          <w:b/>
          <w:sz w:val="24"/>
        </w:rPr>
      </w:pPr>
      <w:r>
        <w:rPr>
          <w:rFonts w:hint="eastAsia" w:eastAsia="宋体" w:cs="Arial"/>
          <w:b/>
          <w:sz w:val="24"/>
          <w:szCs w:val="24"/>
          <w:lang w:val="en-US" w:eastAsia="zh-CN"/>
        </w:rPr>
        <w:t>Maastricht,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Netherlands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ascii="Arial" w:hAnsi="Arial" w:eastAsia="宋体" w:cs="Arial"/>
          <w:b/>
          <w:sz w:val="24"/>
          <w:szCs w:val="24"/>
          <w:lang w:eastAsia="zh-CN"/>
        </w:rPr>
        <w:t>th–</w:t>
      </w:r>
      <w:r>
        <w:rPr>
          <w:rFonts w:hint="eastAsia" w:cs="Arial"/>
          <w:b/>
          <w:sz w:val="24"/>
          <w:szCs w:val="24"/>
          <w:lang w:val="en-US" w:eastAsia="zh-CN"/>
        </w:rPr>
        <w:t>23rd</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8"/>
      <w:bookmarkStart w:id="1" w:name="OLE_LINK14"/>
      <w:r>
        <w:rPr>
          <w:rFonts w:hint="eastAsia" w:ascii="Arial" w:hAnsi="Arial"/>
          <w:b/>
          <w:sz w:val="24"/>
          <w:highlight w:val="none"/>
          <w:lang w:val="en-US" w:eastAsia="zh-CN"/>
        </w:rPr>
        <w:t>D</w:t>
      </w:r>
      <w:r>
        <w:rPr>
          <w:rStyle w:val="60"/>
          <w:rFonts w:hint="eastAsia"/>
          <w:b/>
          <w:highlight w:val="none"/>
          <w:lang w:val="pt-BR" w:eastAsia="zh-CN"/>
        </w:rPr>
        <w:t>iscussion on</w:t>
      </w:r>
      <w:bookmarkEnd w:id="0"/>
      <w:bookmarkEnd w:id="1"/>
      <w:r>
        <w:rPr>
          <w:rStyle w:val="60"/>
          <w:rFonts w:hint="eastAsia"/>
          <w:b/>
          <w:highlight w:val="none"/>
          <w:lang w:val="en-US" w:eastAsia="zh-CN"/>
        </w:rPr>
        <w:t xml:space="preserve"> system parameters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8.9.3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104</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initial</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from system parameters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0"/>
              <w:textAlignment w:val="baseline"/>
              <w:rPr>
                <w:bCs/>
                <w:sz w:val="20"/>
                <w:szCs w:val="20"/>
              </w:rPr>
            </w:pPr>
            <w:r>
              <w:rPr>
                <w:bCs/>
                <w:sz w:val="20"/>
                <w:szCs w:val="20"/>
              </w:rPr>
              <w:t>The following assumptions are taken as the baseline for this work:</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GSO and NGSO</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NTN capable UE type 1 to 5 (38.101-5 </w:t>
            </w:r>
            <w:r>
              <w:rPr>
                <w:sz w:val="20"/>
                <w:szCs w:val="20"/>
              </w:rPr>
              <w:t xml:space="preserve">Table 9.2.1.0-1) </w:t>
            </w:r>
            <w:r>
              <w:rPr>
                <w:bCs/>
                <w:sz w:val="20"/>
                <w:szCs w:val="20"/>
              </w:rPr>
              <w:t>for above 10 GHz (no handheld devices)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FDD Mode </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GNSS Receiver capability </w:t>
            </w:r>
          </w:p>
          <w:p>
            <w:pPr>
              <w:overflowPunct w:val="0"/>
              <w:autoSpaceDE w:val="0"/>
              <w:autoSpaceDN w:val="0"/>
              <w:adjustRightInd w:val="0"/>
              <w:spacing w:after="0"/>
              <w:ind w:left="720"/>
              <w:textAlignment w:val="baseline"/>
              <w:rPr>
                <w:bCs/>
                <w:color w:val="FF0000"/>
                <w:sz w:val="20"/>
                <w:szCs w:val="20"/>
              </w:rPr>
            </w:pPr>
          </w:p>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frequency range and subcarrier spacing. Conduct new co-existence studies based on adjacent services .</w:t>
            </w:r>
          </w:p>
          <w:p>
            <w:pPr>
              <w:numPr>
                <w:ilvl w:val="0"/>
                <w:numId w:val="9"/>
              </w:numPr>
              <w:overflowPunct w:val="0"/>
              <w:autoSpaceDE w:val="0"/>
              <w:autoSpaceDN w:val="0"/>
              <w:adjustRightInd w:val="0"/>
              <w:spacing w:after="0"/>
              <w:jc w:val="both"/>
              <w:textAlignment w:val="baseline"/>
              <w:rPr>
                <w:bCs/>
                <w:sz w:val="20"/>
                <w:szCs w:val="20"/>
              </w:rPr>
            </w:pPr>
            <w:r>
              <w:rPr>
                <w:sz w:val="20"/>
                <w:szCs w:val="20"/>
              </w:rPr>
              <w:t>Specify RF requirements for satellite access node and NTN VSAT types in 38.101-5 also considering existing regulations on antenna sizes for certain parts of the Ku band.</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 20 MHz, 35 MHz, 50 MHz, 70 MHz and 100 MHz channel bandwidths with 30 kHz subcarrier spacing</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RAN4 will select which one of the above approaches for DL and UL will be pursued by RAN #106.</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 to support satellite services in 125 MHz (UL) and 250 MHz (DL) aggregated bandwidths.</w:t>
            </w:r>
          </w:p>
          <w:p>
            <w:pPr>
              <w:pStyle w:val="34"/>
              <w:numPr>
                <w:ilvl w:val="0"/>
                <w:numId w:val="10"/>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 xml:space="preserve">Specify RRM requirements </w:t>
            </w:r>
          </w:p>
          <w:p>
            <w:pPr>
              <w:pStyle w:val="34"/>
              <w:overflowPunct/>
              <w:autoSpaceDE/>
              <w:autoSpaceDN/>
              <w:adjustRightInd/>
              <w:spacing w:before="0" w:beforeAutospacing="0" w:after="160" w:afterAutospacing="0" w:line="259" w:lineRule="auto"/>
              <w:ind w:left="360"/>
              <w:contextualSpacing/>
              <w:jc w:val="both"/>
              <w:textAlignment w:val="auto"/>
              <w:rPr>
                <w:sz w:val="20"/>
                <w:szCs w:val="20"/>
              </w:rPr>
            </w:pP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r>
              <w:rPr>
                <w:sz w:val="20"/>
                <w:szCs w:val="20"/>
              </w:rPr>
              <w:t>Note: Support for NTN CA is not in the scope of this WID</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rPr>
          <w:rFonts w:hint="eastAsia" w:cs="Times New Roman"/>
          <w:b w:val="0"/>
          <w:kern w:val="2"/>
          <w:sz w:val="20"/>
          <w:szCs w:val="20"/>
          <w:lang w:val="en-US" w:eastAsia="zh-CN" w:bidi="ar-SA"/>
        </w:rPr>
      </w:pPr>
      <w:r>
        <w:rPr>
          <w:rFonts w:hint="eastAsia" w:cs="Times New Roman"/>
          <w:b w:val="0"/>
          <w:kern w:val="2"/>
          <w:sz w:val="20"/>
          <w:szCs w:val="20"/>
          <w:lang w:val="en-US" w:eastAsia="zh-CN" w:bidi="ar-SA"/>
        </w:rPr>
        <w:t>According to the objective of the WID, there are two options for us to consider to define Ku band.</w:t>
      </w:r>
    </w:p>
    <w:p>
      <w:pPr>
        <w:pStyle w:val="34"/>
        <w:keepNext w:val="0"/>
        <w:keepLines w:val="0"/>
        <w:pageBreakBefore w:val="0"/>
        <w:widowControl/>
        <w:numPr>
          <w:ilvl w:val="0"/>
          <w:numId w:val="11"/>
        </w:numPr>
        <w:kinsoku/>
        <w:wordWrap/>
        <w:overflowPunct/>
        <w:topLinePunct w:val="0"/>
        <w:autoSpaceDE/>
        <w:autoSpaceDN/>
        <w:bidi w:val="0"/>
        <w:adjustRightInd/>
        <w:snapToGrid/>
        <w:spacing w:before="0" w:beforeLines="50" w:beforeAutospacing="0" w:after="160" w:afterAutospacing="0" w:line="260" w:lineRule="auto"/>
        <w:ind w:left="283" w:leftChars="0" w:hanging="283" w:firstLineChars="0"/>
        <w:contextualSpacing/>
        <w:jc w:val="both"/>
        <w:textAlignment w:val="auto"/>
        <w:rPr>
          <w:sz w:val="20"/>
          <w:szCs w:val="20"/>
        </w:rPr>
      </w:pPr>
      <w:r>
        <w:rPr>
          <w:rFonts w:hint="eastAsia" w:eastAsia="宋体"/>
          <w:sz w:val="20"/>
          <w:szCs w:val="20"/>
          <w:lang w:val="en-US" w:eastAsia="zh-CN"/>
        </w:rPr>
        <w:t xml:space="preserve">Option 1: </w:t>
      </w:r>
      <w:r>
        <w:rPr>
          <w:sz w:val="20"/>
          <w:szCs w:val="20"/>
        </w:rPr>
        <w:t>Ku band #1a and #1b as FR1-NTN supporting 20 MHz, 35 MHz, 50 MHz, 70 MHz and 100 MHz channel bandwidths with 30 kHz subcarrier spacing</w:t>
      </w:r>
      <w:r>
        <w:rPr>
          <w:rFonts w:hint="eastAsia" w:eastAsia="宋体"/>
          <w:sz w:val="20"/>
          <w:szCs w:val="20"/>
          <w:lang w:val="en-US" w:eastAsia="zh-CN"/>
        </w:rPr>
        <w:t>.</w:t>
      </w:r>
    </w:p>
    <w:p>
      <w:pPr>
        <w:pStyle w:val="34"/>
        <w:keepNext w:val="0"/>
        <w:keepLines w:val="0"/>
        <w:pageBreakBefore w:val="0"/>
        <w:widowControl/>
        <w:numPr>
          <w:ilvl w:val="0"/>
          <w:numId w:val="11"/>
        </w:numPr>
        <w:kinsoku/>
        <w:wordWrap/>
        <w:overflowPunct/>
        <w:topLinePunct w:val="0"/>
        <w:autoSpaceDE/>
        <w:autoSpaceDN/>
        <w:bidi w:val="0"/>
        <w:adjustRightInd/>
        <w:snapToGrid/>
        <w:spacing w:before="0" w:beforeLines="50" w:beforeAutospacing="0" w:after="160" w:afterAutospacing="0" w:line="260" w:lineRule="auto"/>
        <w:ind w:left="283" w:leftChars="0" w:hanging="283" w:firstLineChars="0"/>
        <w:contextualSpacing/>
        <w:jc w:val="both"/>
        <w:textAlignment w:val="auto"/>
        <w:rPr>
          <w:rFonts w:hint="default" w:cs="Times New Roman"/>
          <w:b w:val="0"/>
          <w:kern w:val="2"/>
          <w:sz w:val="20"/>
          <w:szCs w:val="20"/>
          <w:lang w:val="en-US" w:eastAsia="zh-CN" w:bidi="ar-SA"/>
        </w:rPr>
      </w:pPr>
      <w:r>
        <w:rPr>
          <w:rFonts w:hint="eastAsia" w:eastAsia="宋体"/>
          <w:sz w:val="20"/>
          <w:szCs w:val="20"/>
          <w:lang w:val="en-US" w:eastAsia="zh-CN"/>
        </w:rPr>
        <w:t xml:space="preserve">Option 2: </w:t>
      </w:r>
      <w:r>
        <w:rPr>
          <w:sz w:val="20"/>
          <w:szCs w:val="20"/>
        </w:rPr>
        <w:t>Ku band #1a and #1b as FR2-NTN supporting 50 MHz, 100 MHz, 200 MHz, 400 MHz (120kHz SCS only) channel bandwidths with 120 kHz subcarrier spacing</w:t>
      </w:r>
      <w:r>
        <w:rPr>
          <w:rFonts w:hint="eastAsia" w:eastAsia="宋体"/>
          <w:sz w:val="20"/>
          <w:szCs w:val="20"/>
          <w:lang w:val="en-US" w:eastAsia="zh-CN"/>
        </w:rPr>
        <w:t>.</w:t>
      </w:r>
    </w:p>
    <w:p>
      <w:pPr>
        <w:jc w:val="center"/>
        <w:rPr>
          <w:b/>
          <w:bCs/>
          <w:szCs w:val="22"/>
        </w:rPr>
      </w:pPr>
      <w:r>
        <w:drawing>
          <wp:inline distT="0" distB="0" distL="114300" distR="114300">
            <wp:extent cx="6115685" cy="1269365"/>
            <wp:effectExtent l="0" t="0" r="10795" b="10795"/>
            <wp:docPr id="4" name="图片 3" descr="A red flag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A red flag with blue lines&#10;&#10;Description automatically generated"/>
                    <pic:cNvPicPr>
                      <a:picLocks noChangeAspect="1"/>
                    </pic:cNvPicPr>
                  </pic:nvPicPr>
                  <pic:blipFill>
                    <a:blip r:embed="rId12"/>
                    <a:stretch>
                      <a:fillRect/>
                    </a:stretch>
                  </pic:blipFill>
                  <pic:spPr>
                    <a:xfrm>
                      <a:off x="0" y="0"/>
                      <a:ext cx="6115685" cy="1269365"/>
                    </a:xfrm>
                    <a:prstGeom prst="rect">
                      <a:avLst/>
                    </a:prstGeom>
                    <a:noFill/>
                    <a:ln>
                      <a:noFill/>
                    </a:ln>
                  </pic:spPr>
                </pic:pic>
              </a:graphicData>
            </a:graphic>
          </wp:inline>
        </w:drawing>
      </w:r>
    </w:p>
    <w:p>
      <w:pPr>
        <w:jc w:val="center"/>
        <w:rPr>
          <w:b/>
          <w:bCs/>
          <w:szCs w:val="22"/>
        </w:rPr>
      </w:pPr>
      <w:r>
        <w:rPr>
          <w:b/>
          <w:bCs/>
          <w:szCs w:val="22"/>
        </w:rPr>
        <w:t xml:space="preserve">Figure </w:t>
      </w:r>
      <w:r>
        <w:rPr>
          <w:rFonts w:hint="eastAsia"/>
          <w:b/>
          <w:bCs/>
          <w:szCs w:val="22"/>
          <w:lang w:val="en-US" w:eastAsia="zh-CN"/>
        </w:rPr>
        <w:t>2.1-1</w:t>
      </w:r>
      <w:r>
        <w:rPr>
          <w:b/>
          <w:bCs/>
          <w:szCs w:val="22"/>
        </w:rPr>
        <w:t>. Normative work for Ku band #1a for all ITU regions 1 and 3</w:t>
      </w:r>
    </w:p>
    <w:p>
      <w:pPr>
        <w:jc w:val="center"/>
        <w:rPr>
          <w:b/>
          <w:bCs/>
          <w:szCs w:val="22"/>
        </w:rPr>
      </w:pPr>
      <w:r>
        <w:rPr>
          <w:b/>
          <w:szCs w:val="22"/>
        </w:rPr>
        <w:drawing>
          <wp:inline distT="0" distB="0" distL="114300" distR="114300">
            <wp:extent cx="6115685" cy="1196975"/>
            <wp:effectExtent l="0" t="0" r="10795" b="6985"/>
            <wp:docPr id="5" name="图片 4" descr="A red flag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A red flag with blue lines&#10;&#10;Description automatically generated"/>
                    <pic:cNvPicPr>
                      <a:picLocks noChangeAspect="1"/>
                    </pic:cNvPicPr>
                  </pic:nvPicPr>
                  <pic:blipFill>
                    <a:blip r:embed="rId13"/>
                    <a:stretch>
                      <a:fillRect/>
                    </a:stretch>
                  </pic:blipFill>
                  <pic:spPr>
                    <a:xfrm>
                      <a:off x="0" y="0"/>
                      <a:ext cx="6115685" cy="1196975"/>
                    </a:xfrm>
                    <a:prstGeom prst="rect">
                      <a:avLst/>
                    </a:prstGeom>
                    <a:noFill/>
                    <a:ln>
                      <a:noFill/>
                    </a:ln>
                  </pic:spPr>
                </pic:pic>
              </a:graphicData>
            </a:graphic>
          </wp:inline>
        </w:drawing>
      </w:r>
    </w:p>
    <w:p>
      <w:pPr>
        <w:jc w:val="center"/>
        <w:rPr>
          <w:rFonts w:hint="default" w:cs="Times New Roman"/>
          <w:b w:val="0"/>
          <w:kern w:val="2"/>
          <w:sz w:val="20"/>
          <w:szCs w:val="20"/>
          <w:lang w:val="en-US" w:eastAsia="zh-CN" w:bidi="ar-SA"/>
        </w:rPr>
      </w:pPr>
      <w:r>
        <w:rPr>
          <w:b/>
          <w:bCs/>
          <w:szCs w:val="22"/>
        </w:rPr>
        <w:t xml:space="preserve">Figure </w:t>
      </w:r>
      <w:r>
        <w:rPr>
          <w:rFonts w:hint="eastAsia"/>
          <w:b/>
          <w:bCs/>
          <w:szCs w:val="22"/>
          <w:lang w:val="en-US" w:eastAsia="zh-CN"/>
        </w:rPr>
        <w:t>2.1-2</w:t>
      </w:r>
      <w:r>
        <w:rPr>
          <w:b/>
          <w:bCs/>
          <w:szCs w:val="22"/>
        </w:rPr>
        <w:t>. Normative work for Ku band #1b for all ITU regions 2</w:t>
      </w:r>
    </w:p>
    <w:p>
      <w:pPr>
        <w:rPr>
          <w:rFonts w:hint="default" w:cs="Times New Roman"/>
          <w:b w:val="0"/>
          <w:kern w:val="2"/>
          <w:sz w:val="20"/>
          <w:szCs w:val="20"/>
          <w:lang w:val="en-US" w:eastAsia="zh-CN" w:bidi="ar-SA"/>
        </w:rPr>
      </w:pPr>
      <w:r>
        <w:rPr>
          <w:rFonts w:hint="eastAsia" w:cs="Times New Roman"/>
          <w:b w:val="0"/>
          <w:kern w:val="2"/>
          <w:sz w:val="20"/>
          <w:szCs w:val="20"/>
          <w:lang w:val="en-US" w:eastAsia="zh-CN" w:bidi="ar-SA"/>
        </w:rPr>
        <w:t xml:space="preserve">With regard to dividing Ku band to FR1 or FR2, we can refer to TR 38.820, a study item on 7.125–24.250 GHz frequency range, covering the regulatory framework study, general RF aspects, as well as BS- and UE-specific aspects. The following table is the split of frequency range 7–24 GHz. And in TR 38.820, it indicates that the frequency range 7.125-[10-13] GHz would have </w:t>
      </w:r>
      <w:r>
        <w:rPr>
          <w:rFonts w:hint="default" w:cs="Times New Roman"/>
          <w:b w:val="0"/>
          <w:kern w:val="2"/>
          <w:sz w:val="20"/>
          <w:szCs w:val="20"/>
          <w:lang w:val="en-US" w:eastAsia="zh-CN" w:bidi="ar-SA"/>
        </w:rPr>
        <w:t>“</w:t>
      </w:r>
      <w:r>
        <w:rPr>
          <w:rFonts w:hint="eastAsia" w:cs="Times New Roman"/>
          <w:b w:val="0"/>
          <w:kern w:val="2"/>
          <w:sz w:val="20"/>
          <w:szCs w:val="20"/>
          <w:lang w:val="en-US" w:eastAsia="zh-CN" w:bidi="ar-SA"/>
        </w:rPr>
        <w:t>FR1 like</w:t>
      </w:r>
      <w:r>
        <w:rPr>
          <w:rFonts w:hint="default" w:cs="Times New Roman"/>
          <w:b w:val="0"/>
          <w:kern w:val="2"/>
          <w:sz w:val="20"/>
          <w:szCs w:val="20"/>
          <w:lang w:val="en-US" w:eastAsia="zh-CN" w:bidi="ar-SA"/>
        </w:rPr>
        <w:t>”</w:t>
      </w:r>
      <w:r>
        <w:rPr>
          <w:rFonts w:hint="eastAsia" w:cs="Times New Roman"/>
          <w:b w:val="0"/>
          <w:kern w:val="2"/>
          <w:sz w:val="20"/>
          <w:szCs w:val="20"/>
          <w:lang w:val="en-US" w:eastAsia="zh-CN" w:bidi="ar-SA"/>
        </w:rPr>
        <w:t xml:space="preserve"> requirements.</w:t>
      </w:r>
    </w:p>
    <w:p>
      <w:pPr>
        <w:keepNext/>
        <w:keepLines/>
        <w:spacing w:after="0"/>
        <w:jc w:val="center"/>
        <w:rPr>
          <w:rFonts w:ascii="Arial" w:hAnsi="Arial" w:eastAsia="宋体"/>
          <w:b/>
        </w:rPr>
      </w:pPr>
      <w:r>
        <w:rPr>
          <w:rFonts w:ascii="Arial" w:hAnsi="Arial" w:eastAsia="宋体"/>
          <w:b/>
        </w:rPr>
        <w:t xml:space="preserve">Table 1: </w:t>
      </w:r>
      <w:r>
        <w:rPr>
          <w:rFonts w:ascii="Arial" w:hAnsi="Arial"/>
          <w:b/>
          <w:sz w:val="18"/>
        </w:rPr>
        <w:t>Frequency sub-</w:t>
      </w:r>
      <w:r>
        <w:rPr>
          <w:rFonts w:ascii="Arial" w:hAnsi="Arial" w:eastAsia="宋体"/>
          <w:b/>
        </w:rPr>
        <w:t>ranges and examples frequencies selection in 7 – 24 GHz range</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67"/>
        <w:gridCol w:w="1859"/>
        <w:gridCol w:w="1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b/>
                <w:sz w:val="18"/>
              </w:rPr>
            </w:pPr>
            <w:r>
              <w:rPr>
                <w:rFonts w:ascii="Arial" w:hAnsi="Arial"/>
                <w:b/>
                <w:sz w:val="18"/>
              </w:rPr>
              <w:t>Frequency sub-range</w:t>
            </w:r>
          </w:p>
        </w:tc>
        <w:tc>
          <w:tcPr>
            <w:tcW w:w="0" w:type="auto"/>
            <w:shd w:val="clear" w:color="auto" w:fill="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b/>
                <w:sz w:val="18"/>
              </w:rPr>
            </w:pPr>
            <w:r>
              <w:rPr>
                <w:rFonts w:ascii="Arial" w:hAnsi="Arial"/>
                <w:b/>
                <w:sz w:val="18"/>
              </w:rPr>
              <w:t>Frequency</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b/>
                <w:sz w:val="18"/>
              </w:rPr>
            </w:pPr>
            <w:r>
              <w:rPr>
                <w:rFonts w:ascii="Arial" w:hAnsi="Arial"/>
                <w:b/>
                <w:sz w:val="18"/>
              </w:rPr>
              <w:t>(GHz)</w:t>
            </w:r>
          </w:p>
        </w:tc>
        <w:tc>
          <w:tcPr>
            <w:tcW w:w="0" w:type="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b/>
                <w:sz w:val="18"/>
              </w:rPr>
            </w:pPr>
            <w:r>
              <w:rPr>
                <w:rFonts w:ascii="Arial" w:hAnsi="Arial"/>
                <w:b/>
                <w:sz w:val="18"/>
              </w:rPr>
              <w:t>Example frequency</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b/>
                <w:sz w:val="18"/>
              </w:rPr>
            </w:pPr>
            <w:r>
              <w:rPr>
                <w:rFonts w:ascii="Arial" w:hAnsi="Arial"/>
                <w:b/>
                <w:sz w:val="18"/>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sz w:val="18"/>
                <w:szCs w:val="18"/>
                <w:lang w:eastAsia="zh-CN"/>
              </w:rPr>
            </w:pPr>
            <w:r>
              <w:rPr>
                <w:rFonts w:ascii="Arial" w:hAnsi="Arial"/>
                <w:sz w:val="18"/>
                <w:szCs w:val="18"/>
                <w:lang w:eastAsia="zh-CN"/>
              </w:rPr>
              <w:t>1</w:t>
            </w:r>
          </w:p>
        </w:tc>
        <w:tc>
          <w:tcPr>
            <w:tcW w:w="0" w:type="auto"/>
            <w:shd w:val="clear" w:color="auto" w:fill="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sz w:val="18"/>
                <w:szCs w:val="18"/>
                <w:lang w:eastAsia="zh-CN"/>
              </w:rPr>
            </w:pPr>
            <w:r>
              <w:rPr>
                <w:rFonts w:ascii="Arial" w:hAnsi="Arial"/>
                <w:sz w:val="18"/>
                <w:szCs w:val="18"/>
                <w:lang w:eastAsia="zh-CN"/>
              </w:rPr>
              <w:t>7.125 - f</w:t>
            </w:r>
            <w:r>
              <w:rPr>
                <w:rFonts w:ascii="Arial" w:hAnsi="Arial"/>
                <w:sz w:val="18"/>
                <w:szCs w:val="18"/>
                <w:vertAlign w:val="subscript"/>
                <w:lang w:eastAsia="zh-CN"/>
              </w:rPr>
              <w:t>boundary, low</w:t>
            </w:r>
          </w:p>
        </w:tc>
        <w:tc>
          <w:tcPr>
            <w:tcW w:w="0" w:type="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sz w:val="18"/>
                <w:szCs w:val="18"/>
                <w:lang w:eastAsia="zh-CN"/>
              </w:rPr>
            </w:pPr>
            <w:r>
              <w:rPr>
                <w:rFonts w:ascii="Arial" w:hAnsi="Arial"/>
                <w:sz w:val="18"/>
                <w:szCs w:val="18"/>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sz w:val="18"/>
                <w:lang w:eastAsia="zh-CN"/>
              </w:rPr>
            </w:pPr>
            <w:r>
              <w:rPr>
                <w:rFonts w:ascii="Arial" w:hAnsi="Arial"/>
                <w:sz w:val="18"/>
                <w:lang w:eastAsia="zh-CN"/>
              </w:rPr>
              <w:t>2</w:t>
            </w:r>
          </w:p>
        </w:tc>
        <w:tc>
          <w:tcPr>
            <w:tcW w:w="0" w:type="auto"/>
            <w:shd w:val="clear" w:color="auto" w:fill="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sz w:val="18"/>
                <w:lang w:eastAsia="zh-CN"/>
              </w:rPr>
            </w:pPr>
            <w:r>
              <w:rPr>
                <w:rFonts w:ascii="Arial" w:hAnsi="Arial"/>
                <w:sz w:val="18"/>
                <w:szCs w:val="18"/>
                <w:lang w:eastAsia="zh-CN"/>
              </w:rPr>
              <w:t>f</w:t>
            </w:r>
            <w:r>
              <w:rPr>
                <w:rFonts w:ascii="Arial" w:hAnsi="Arial"/>
                <w:sz w:val="18"/>
                <w:szCs w:val="18"/>
                <w:vertAlign w:val="subscript"/>
                <w:lang w:eastAsia="zh-CN"/>
              </w:rPr>
              <w:t>boundary, low</w:t>
            </w:r>
            <w:r>
              <w:rPr>
                <w:rFonts w:ascii="Arial" w:hAnsi="Arial"/>
                <w:sz w:val="18"/>
                <w:lang w:eastAsia="zh-CN"/>
              </w:rPr>
              <w:t xml:space="preserve"> - </w:t>
            </w:r>
            <w:r>
              <w:rPr>
                <w:rFonts w:ascii="Arial" w:hAnsi="Arial"/>
                <w:sz w:val="18"/>
                <w:szCs w:val="18"/>
                <w:lang w:eastAsia="zh-CN"/>
              </w:rPr>
              <w:t>f</w:t>
            </w:r>
            <w:r>
              <w:rPr>
                <w:rFonts w:ascii="Arial" w:hAnsi="Arial"/>
                <w:sz w:val="18"/>
                <w:szCs w:val="18"/>
                <w:vertAlign w:val="subscript"/>
                <w:lang w:eastAsia="zh-CN"/>
              </w:rPr>
              <w:t>boundary, high</w:t>
            </w:r>
          </w:p>
        </w:tc>
        <w:tc>
          <w:tcPr>
            <w:tcW w:w="0" w:type="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sz w:val="18"/>
                <w:lang w:eastAsia="zh-CN"/>
              </w:rPr>
            </w:pPr>
            <w:r>
              <w:rPr>
                <w:rFonts w:ascii="Arial" w:hAnsi="Arial"/>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sz w:val="18"/>
                <w:lang w:eastAsia="zh-CN"/>
              </w:rPr>
            </w:pPr>
            <w:r>
              <w:rPr>
                <w:rFonts w:ascii="Arial" w:hAnsi="Arial"/>
                <w:sz w:val="18"/>
                <w:lang w:eastAsia="zh-CN"/>
              </w:rPr>
              <w:t>3</w:t>
            </w:r>
          </w:p>
        </w:tc>
        <w:tc>
          <w:tcPr>
            <w:tcW w:w="0" w:type="auto"/>
            <w:shd w:val="clear" w:color="auto" w:fill="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sz w:val="18"/>
                <w:lang w:eastAsia="zh-CN"/>
              </w:rPr>
            </w:pPr>
            <w:r>
              <w:rPr>
                <w:rFonts w:ascii="Arial" w:hAnsi="Arial"/>
                <w:sz w:val="18"/>
                <w:lang w:eastAsia="zh-CN"/>
              </w:rPr>
              <w:t xml:space="preserve"> </w:t>
            </w:r>
            <w:r>
              <w:rPr>
                <w:rFonts w:ascii="Arial" w:hAnsi="Arial"/>
                <w:sz w:val="18"/>
                <w:szCs w:val="18"/>
                <w:lang w:eastAsia="zh-CN"/>
              </w:rPr>
              <w:t>f</w:t>
            </w:r>
            <w:r>
              <w:rPr>
                <w:rFonts w:ascii="Arial" w:hAnsi="Arial"/>
                <w:sz w:val="18"/>
                <w:szCs w:val="18"/>
                <w:vertAlign w:val="subscript"/>
                <w:lang w:eastAsia="zh-CN"/>
              </w:rPr>
              <w:t>boundary, high</w:t>
            </w:r>
            <w:r>
              <w:rPr>
                <w:rFonts w:ascii="Arial" w:hAnsi="Arial"/>
                <w:sz w:val="18"/>
                <w:lang w:eastAsia="zh-CN"/>
              </w:rPr>
              <w:t xml:space="preserve"> - 24.250</w:t>
            </w:r>
          </w:p>
        </w:tc>
        <w:tc>
          <w:tcPr>
            <w:tcW w:w="0" w:type="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sz w:val="18"/>
                <w:lang w:eastAsia="zh-CN"/>
              </w:rPr>
            </w:pPr>
            <w:r>
              <w:rPr>
                <w:rFonts w:ascii="Arial" w:hAnsi="Arial"/>
                <w:sz w:val="18"/>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gridSpan w:val="3"/>
          </w:tcPr>
          <w:p>
            <w:pPr>
              <w:pStyle w:val="70"/>
              <w:keepNext/>
              <w:keepLines/>
              <w:pageBreakBefore w:val="0"/>
              <w:widowControl/>
              <w:kinsoku/>
              <w:wordWrap/>
              <w:overflowPunct/>
              <w:topLinePunct w:val="0"/>
              <w:autoSpaceDE/>
              <w:autoSpaceDN/>
              <w:bidi w:val="0"/>
              <w:adjustRightInd/>
              <w:snapToGrid/>
              <w:spacing w:beforeLines="0" w:afterLines="0" w:line="240" w:lineRule="auto"/>
              <w:textAlignment w:val="auto"/>
            </w:pPr>
            <w:r>
              <w:t>Note 1:</w:t>
            </w:r>
            <w:r>
              <w:tab/>
            </w:r>
            <w:r>
              <w:rPr>
                <w:szCs w:val="18"/>
                <w:lang w:eastAsia="zh-CN"/>
              </w:rPr>
              <w:t>f</w:t>
            </w:r>
            <w:r>
              <w:rPr>
                <w:szCs w:val="18"/>
                <w:vertAlign w:val="subscript"/>
                <w:lang w:eastAsia="zh-CN"/>
              </w:rPr>
              <w:t>boundary, low</w:t>
            </w:r>
            <w:r>
              <w:t xml:space="preserve"> is within the frequency range 10 - 13 GHz.</w:t>
            </w:r>
          </w:p>
          <w:p>
            <w:pPr>
              <w:pStyle w:val="70"/>
              <w:keepNext/>
              <w:keepLines/>
              <w:pageBreakBefore w:val="0"/>
              <w:widowControl/>
              <w:kinsoku/>
              <w:wordWrap/>
              <w:overflowPunct/>
              <w:topLinePunct w:val="0"/>
              <w:autoSpaceDE/>
              <w:autoSpaceDN/>
              <w:bidi w:val="0"/>
              <w:adjustRightInd/>
              <w:snapToGrid/>
              <w:spacing w:beforeLines="0" w:afterLines="0" w:line="240" w:lineRule="auto"/>
              <w:textAlignment w:val="auto"/>
            </w:pPr>
            <w:r>
              <w:t>Note 2:</w:t>
            </w:r>
            <w:r>
              <w:tab/>
            </w:r>
            <w:r>
              <w:rPr>
                <w:szCs w:val="18"/>
                <w:lang w:eastAsia="zh-CN"/>
              </w:rPr>
              <w:t>f</w:t>
            </w:r>
            <w:r>
              <w:rPr>
                <w:szCs w:val="18"/>
                <w:vertAlign w:val="subscript"/>
                <w:lang w:eastAsia="zh-CN"/>
              </w:rPr>
              <w:t>boundary, high</w:t>
            </w:r>
            <w:r>
              <w:t xml:space="preserve"> is within the frequency range 16 - 18 GHz.</w:t>
            </w:r>
          </w:p>
        </w:tc>
      </w:tr>
    </w:tbl>
    <w:p>
      <w:pPr>
        <w:rPr>
          <w:rFonts w:hint="default" w:cs="Times New Roman"/>
          <w:b w:val="0"/>
          <w:kern w:val="2"/>
          <w:sz w:val="20"/>
          <w:szCs w:val="20"/>
          <w:lang w:val="en-US" w:eastAsia="zh-CN" w:bidi="ar-SA"/>
        </w:rPr>
      </w:pPr>
    </w:p>
    <w:p>
      <w:pPr>
        <w:rPr>
          <w:rFonts w:hint="default" w:cs="Times New Roman"/>
          <w:b w:val="0"/>
          <w:kern w:val="2"/>
          <w:sz w:val="20"/>
          <w:szCs w:val="20"/>
          <w:lang w:val="en-US" w:eastAsia="zh-CN" w:bidi="ar-SA"/>
        </w:rPr>
      </w:pPr>
      <w:r>
        <w:rPr>
          <w:rFonts w:hint="eastAsia" w:cs="Times New Roman"/>
          <w:b w:val="0"/>
          <w:kern w:val="2"/>
          <w:sz w:val="20"/>
          <w:szCs w:val="20"/>
          <w:lang w:val="en-US" w:eastAsia="zh-CN" w:bidi="ar-SA"/>
        </w:rPr>
        <w:t xml:space="preserve">Regarding the frequency range of Ku band, it is closer to FR1. However, channel bandwidths specified in current NTN specification only support 5, 10, 15, 20 MHz, and 30 MHz channel bandwidth only be introduced without defining related RF requirements. If we divide Ku band into FR1-NTN, we need to define 35 MHz, 50 MHz, 70 MHz and 100 MHz channel bandwidths and related RF requirements. </w:t>
      </w:r>
    </w:p>
    <w:p>
      <w:pPr>
        <w:rPr>
          <w:rFonts w:hint="default"/>
          <w:b/>
          <w:bCs/>
          <w:i w:val="0"/>
          <w:iCs w:val="0"/>
          <w:sz w:val="20"/>
          <w:szCs w:val="20"/>
          <w:lang w:val="en-US" w:eastAsia="zh-CN"/>
        </w:rPr>
      </w:pPr>
      <w:r>
        <w:rPr>
          <w:rFonts w:hint="eastAsia"/>
          <w:b/>
          <w:bCs/>
          <w:i w:val="0"/>
          <w:iCs w:val="0"/>
          <w:sz w:val="20"/>
          <w:szCs w:val="20"/>
          <w:lang w:val="en-US" w:eastAsia="zh-CN"/>
        </w:rPr>
        <w:t>Observation 1: The frequency range of Ku band is closer to FR1. However, channel bandwidths specified in current NTN specification only support 5, 10, 15, 20 MHz, and 30 MHz channel bandwidth only be introduced without defining related RF requirements.</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
          <w:bCs/>
          <w:i w:val="0"/>
          <w:iCs w:val="0"/>
          <w:sz w:val="20"/>
          <w:szCs w:val="20"/>
          <w:lang w:val="en-US" w:eastAsia="zh-CN"/>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system parameters</w:t>
      </w:r>
      <w:r>
        <w:rPr>
          <w:rFonts w:hint="eastAsia" w:ascii="Times New Roman" w:hAnsi="Times New Roman" w:eastAsia="宋体" w:cs="Times New Roman"/>
          <w:b w:val="0"/>
          <w:bCs w:val="0"/>
          <w:kern w:val="0"/>
          <w:sz w:val="20"/>
          <w:szCs w:val="20"/>
          <w:highlight w:val="none"/>
          <w:lang w:val="en-US" w:eastAsia="zh-CN" w:bidi="ar-SA"/>
        </w:rPr>
        <w:t xml:space="preserve"> 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 xml:space="preserve"> is</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default"/>
          <w:b/>
          <w:bCs/>
          <w:i w:val="0"/>
          <w:iCs w:val="0"/>
          <w:sz w:val="20"/>
          <w:szCs w:val="20"/>
          <w:lang w:val="en-US" w:eastAsia="zh-CN"/>
        </w:rPr>
      </w:pPr>
      <w:r>
        <w:rPr>
          <w:rFonts w:hint="eastAsia"/>
          <w:b/>
          <w:bCs/>
          <w:i w:val="0"/>
          <w:iCs w:val="0"/>
          <w:sz w:val="20"/>
          <w:szCs w:val="20"/>
          <w:lang w:val="en-US" w:eastAsia="zh-CN"/>
        </w:rPr>
        <w:t>Observation 1: The frequency range of Ku band is closer to FR1. However, channel bandwidths specified in current NTN specification only support 5, 10, 15, 20 MHz, and 30 MHz channel bandwidth only be introduced without defining related RF requirements.</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RP-241690, New WID on Introduction of Ku Band for NR NTN, Intelsat et al.</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A98E402"/>
    <w:multiLevelType w:val="singleLevel"/>
    <w:tmpl w:val="CA98E402"/>
    <w:lvl w:ilvl="0" w:tentative="0">
      <w:start w:val="1"/>
      <w:numFmt w:val="bullet"/>
      <w:lvlText w:val="○"/>
      <w:lvlJc w:val="left"/>
      <w:pPr>
        <w:tabs>
          <w:tab w:val="left" w:pos="283"/>
        </w:tabs>
        <w:ind w:left="283" w:leftChars="0" w:hanging="283" w:firstLineChars="0"/>
      </w:pPr>
      <w:rPr>
        <w:rFonts w:hint="default" w:ascii="Times New Roman" w:hAnsi="Times New Roman" w:cs="Times New Roman"/>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2AA3B83"/>
    <w:multiLevelType w:val="multilevel"/>
    <w:tmpl w:val="12AA3B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ind w:left="2160" w:hanging="360"/>
      </w:p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F723A5E"/>
    <w:multiLevelType w:val="singleLevel"/>
    <w:tmpl w:val="5F723A5E"/>
    <w:lvl w:ilvl="0" w:tentative="0">
      <w:start w:val="1"/>
      <w:numFmt w:val="decimal"/>
      <w:suff w:val="space"/>
      <w:lvlText w:val="[%1]"/>
      <w:lvlJc w:val="left"/>
    </w:lvl>
  </w:abstractNum>
  <w:abstractNum w:abstractNumId="10">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0"/>
  </w:num>
  <w:num w:numId="3">
    <w:abstractNumId w:val="8"/>
  </w:num>
  <w:num w:numId="4">
    <w:abstractNumId w:val="6"/>
  </w:num>
  <w:num w:numId="5">
    <w:abstractNumId w:val="7"/>
  </w:num>
  <w:num w:numId="6">
    <w:abstractNumId w:val="2"/>
  </w:num>
  <w:num w:numId="7">
    <w:abstractNumId w:val="0"/>
  </w:num>
  <w:num w:numId="8">
    <w:abstractNumId w:val="4"/>
  </w:num>
  <w:num w:numId="9">
    <w:abstractNumId w:val="11"/>
  </w:num>
  <w:num w:numId="10">
    <w:abstractNumId w:val="5"/>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C77E0"/>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8D22BA"/>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557675"/>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6E5330"/>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81B98"/>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55D13"/>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C41AE"/>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E5106"/>
    <w:rsid w:val="12F777F2"/>
    <w:rsid w:val="1307341C"/>
    <w:rsid w:val="130C40FE"/>
    <w:rsid w:val="130E3629"/>
    <w:rsid w:val="13116666"/>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1834"/>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22554"/>
    <w:rsid w:val="15740334"/>
    <w:rsid w:val="1574662E"/>
    <w:rsid w:val="15751882"/>
    <w:rsid w:val="1575191B"/>
    <w:rsid w:val="157818C6"/>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B0783"/>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1368"/>
    <w:rsid w:val="1B9E64C5"/>
    <w:rsid w:val="1B9E6D4C"/>
    <w:rsid w:val="1BB07CEA"/>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31D14"/>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70407"/>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0C17"/>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1365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E6567"/>
    <w:rsid w:val="2CCB6E18"/>
    <w:rsid w:val="2CCF5C52"/>
    <w:rsid w:val="2CE01F07"/>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4A661B"/>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46F76"/>
    <w:rsid w:val="351A603C"/>
    <w:rsid w:val="352821F6"/>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AB07E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7F21986"/>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1ECE"/>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37FC3"/>
    <w:rsid w:val="42A56495"/>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B0C21"/>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15D73"/>
    <w:rsid w:val="49F400AC"/>
    <w:rsid w:val="49F9104E"/>
    <w:rsid w:val="4A0244D3"/>
    <w:rsid w:val="4A255046"/>
    <w:rsid w:val="4A2E1525"/>
    <w:rsid w:val="4A5A756D"/>
    <w:rsid w:val="4A70010B"/>
    <w:rsid w:val="4A722B4C"/>
    <w:rsid w:val="4A785772"/>
    <w:rsid w:val="4A7A7433"/>
    <w:rsid w:val="4A842E43"/>
    <w:rsid w:val="4A886D1D"/>
    <w:rsid w:val="4A89105B"/>
    <w:rsid w:val="4A955EEB"/>
    <w:rsid w:val="4AA341CC"/>
    <w:rsid w:val="4AB21389"/>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56BAC"/>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7D6BF7"/>
    <w:rsid w:val="4F844A99"/>
    <w:rsid w:val="4F94662C"/>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154160"/>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C0156"/>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46911"/>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A211B"/>
    <w:rsid w:val="64FB4412"/>
    <w:rsid w:val="64FE700F"/>
    <w:rsid w:val="6500327F"/>
    <w:rsid w:val="6503698F"/>
    <w:rsid w:val="6506609B"/>
    <w:rsid w:val="65083216"/>
    <w:rsid w:val="650A57D3"/>
    <w:rsid w:val="65460728"/>
    <w:rsid w:val="654835A8"/>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05094"/>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D44D6B"/>
    <w:rsid w:val="6AE4699C"/>
    <w:rsid w:val="6AED1BE8"/>
    <w:rsid w:val="6AF00853"/>
    <w:rsid w:val="6AF317C6"/>
    <w:rsid w:val="6B004C6B"/>
    <w:rsid w:val="6B09696B"/>
    <w:rsid w:val="6B2B0EFD"/>
    <w:rsid w:val="6B2C13E4"/>
    <w:rsid w:val="6B2D2EEB"/>
    <w:rsid w:val="6B322952"/>
    <w:rsid w:val="6B410613"/>
    <w:rsid w:val="6B4831F4"/>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30AB3"/>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67894"/>
    <w:rsid w:val="718E3AA9"/>
    <w:rsid w:val="71920F6D"/>
    <w:rsid w:val="7196106A"/>
    <w:rsid w:val="719E0160"/>
    <w:rsid w:val="719F7A78"/>
    <w:rsid w:val="71A03079"/>
    <w:rsid w:val="71AD22C0"/>
    <w:rsid w:val="71B623F6"/>
    <w:rsid w:val="71B649D8"/>
    <w:rsid w:val="71B84778"/>
    <w:rsid w:val="71C17B7E"/>
    <w:rsid w:val="71C7540C"/>
    <w:rsid w:val="71E857A5"/>
    <w:rsid w:val="71F64A63"/>
    <w:rsid w:val="71F870B8"/>
    <w:rsid w:val="71F9130C"/>
    <w:rsid w:val="72021233"/>
    <w:rsid w:val="720B2A1D"/>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CC6B2A"/>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0E7446"/>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2024-08-09T08:52:52Z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2C76AEB552B54F80A12B88DD3D57EA5C</vt:lpwstr>
  </property>
</Properties>
</file>